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Luther- Code 2 : Suche nach der Wahrheit  - Das 17. Jahrhundert / Alexandra Hardorf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Luther- Code 2 : Suche nach der Wahrheit  - Das 17. Jahrhundert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Hardorf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79 Min. + Arbeitsmaterial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17. Jahrhundert: Luthers Thesenanschlag liegt fast hundert Jahre zurück, doch die Ereignisse der Reformation wirken unvermindert nach. Der Dreißigjährige Krieg verwüstet Europa, die Einheit der Kirche ist verloren. Mit immer größerem Nachdruck stellt sich die Frage nach der Wahrheit. Sie treibt sowohl den Verleger Johann Carolus als auch den Forscher Johannes Kepler an. Auch heute setzen sich Menschen wie die Journalisten Pauline Tillmann für die Wahrheit ein. Sie nutzt dabei die neuartigen Möglichkeiten, die sich durch die Digitalisierung ergeben.&lt;br&gt;&lt;br&gt; DVD educativ mit Unterrichtsmaterial zu den Themen Johannes Kepler, Johann Carolus, Dreißigjähriger Krieg, Journalismus, Zeitung, Forschung, Wissenschaft.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Hardorf, Alexandra</w:t>
            </w:r>
          </w:p>
          <w:p>
            <w:pPr>
              <w:pBdr/>
              <w:spacing/>
              <w:rPr/>
            </w:pPr>
            <w:r>
              <w:rPr>
                <w:rFonts w:ascii="Arial" w:hAnsi="Arial" w:eastAsia="Arial" w:cs="Arial"/>
                <w:b w:val="0"/>
                <w:sz w:val="20"/>
              </w:rPr>
              <w:t xml:space="preserve">Hauke, Wilfried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Dreissigjähriger Krieg</w:t>
            </w:r>
          </w:p>
          <w:p>
            <w:pPr>
              <w:pBdr/>
              <w:spacing/>
              <w:rPr>
                <w:rFonts w:ascii="Arial" w:hAnsi="Arial" w:eastAsia="Arial" w:cs="Arial"/>
                <w:b w:val="0"/>
                <w:sz w:val="20"/>
              </w:rPr>
            </w:pPr>
            <w:r>
              <w:rPr>
                <w:rFonts w:ascii="Arial" w:hAnsi="Arial" w:eastAsia="Arial" w:cs="Arial"/>
                <w:b w:val="0"/>
                <w:sz w:val="20"/>
              </w:rPr>
              <w:t xml:space="preserve">Glaubensspaltung</w:t>
            </w:r>
          </w:p>
          <w:p>
            <w:pPr>
              <w:pBdr/>
              <w:spacing/>
              <w:rPr>
                <w:rFonts w:ascii="Arial" w:hAnsi="Arial" w:eastAsia="Arial" w:cs="Arial"/>
                <w:b w:val="0"/>
                <w:sz w:val="20"/>
              </w:rPr>
            </w:pPr>
            <w:r>
              <w:rPr>
                <w:rFonts w:ascii="Arial" w:hAnsi="Arial" w:eastAsia="Arial" w:cs="Arial"/>
                <w:b w:val="0"/>
                <w:sz w:val="20"/>
              </w:rPr>
              <w:t xml:space="preserve">Wissenschaft</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270 Kirchengeschichte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1009648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