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Tower of Power Spezial / Neuland</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Tower of Power Spezial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Gruppenspiel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Oberstufe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Verantwortlichkeit:</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Neuland</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Rotkreuz : Neuland, 2014</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Gewicht: 7,5 kg inkl. Koffer + 1 Kran (Buche/Edelstahl) mit 24 robusten Flechtschnüren (2 m x 3 mm, 8-fach geflochten), 8 Bauelemente aus massivem Buchenholz, 1 detailierte Anleitung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N049705</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Mit dem neuen Tower Spezial ist es möglich, einige der Bauteile nach dem Umfallen wieder aufzustellen, umzudrehen. So wird der Konstruktionsvorgang noch vielfältiger und abwechslungsreicher!&lt;br&gt;&lt;br&gt;  Lernprojekt&lt;br&gt; Ein gutes (Lern-)Team kann eine wichtige Unterstützung für jeden Einzelnen beim Erreichen seiner Ziele und der Entwicklung seiner Persönlichkeit sein. Doch wie sieht so ein Team aus? Beim Tower of Power kann sich die Gruppe folgende Fragen stellen: „Wie wollen wir miteinander sprechen?“, „Was ist uns in der Zusammenarbeit, in der Gruppe oder in der Klasse wichtig?“. Für diese und weitere Themen sollen spielerisch Antworten gefunden werden.&lt;br&gt;&lt;br&gt;  Durchführung In einem abgegrenzten Bereich werden 8 Bauteile senkrecht stehend auf dem Boden verteilt. Jede Person greift 1 Seilende (oder mehr, je nach Zahl der Akteure; bei Bedarf können auch einzelne Seile entfernt werden). Aufgabe ist es, gemeinsam den an den Seilen befestigten Kran zu steuern und damit die Bauteile aufeinanderzustellen, um so einen Turm zu bauen. Dabei gilt stets die Vorgabe, dass die Bauteile von den Akteuren mit keinem Körperteil berührt werden dürfen. Dies ist eine wackelige Angelegenheit. Die Konstruktionsweise der Bauteile erlaubt kein hektisches und unkoordiniertes Vorgehen. Die Aufgabe ist also nur durch genaue Absprache und organisiertes, gemeinsames Handeln der Gruppe lösbar.&lt;br&gt;&lt;br&gt;Akteure (min/opt/max): 6 / 12 / 24&lt;br&gt;   Zeit: (ohne Auswertung): 10 - 45 Minuten&lt;br&gt;  Platzbedarf: 8 x 8 m</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Neuland AG (Hrsg.)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Gruppendynamisches Spiel</w:t>
            </w:r>
          </w:p>
          <w:p>
            <w:pPr>
              <w:pBdr/>
              <w:spacing/>
              <w:rPr>
                <w:rFonts w:ascii="Arial" w:hAnsi="Arial" w:eastAsia="Arial" w:cs="Arial"/>
                <w:b w:val="0"/>
                <w:sz w:val="20"/>
              </w:rPr>
            </w:pPr>
            <w:r>
              <w:rPr>
                <w:rFonts w:ascii="Arial" w:hAnsi="Arial" w:eastAsia="Arial" w:cs="Arial"/>
                <w:b w:val="0"/>
                <w:sz w:val="20"/>
              </w:rPr>
              <w:t xml:space="preserve">Kommunikationstraining</w:t>
            </w:r>
          </w:p>
          <w:p>
            <w:pPr>
              <w:pBdr/>
              <w:spacing/>
              <w:rPr>
                <w:rFonts w:ascii="Arial" w:hAnsi="Arial" w:eastAsia="Arial" w:cs="Arial"/>
                <w:b w:val="0"/>
                <w:sz w:val="20"/>
              </w:rPr>
            </w:pPr>
            <w:r>
              <w:rPr>
                <w:rFonts w:ascii="Arial" w:hAnsi="Arial" w:eastAsia="Arial" w:cs="Arial"/>
                <w:b w:val="0"/>
                <w:sz w:val="20"/>
              </w:rPr>
              <w:t xml:space="preserve">Teamentwicklung</w:t>
            </w:r>
          </w:p>
          <w:p>
            <w:pPr>
              <w:pBdr/>
              <w:spacing/>
              <w:rPr/>
            </w:pPr>
            <w:r>
              <w:rPr>
                <w:rFonts w:ascii="Arial" w:hAnsi="Arial" w:eastAsia="Arial" w:cs="Arial"/>
                <w:b w:val="0"/>
                <w:sz w:val="20"/>
              </w:rPr>
              <w:t xml:space="preserve">Gruppenspiel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268.012 Gruppendynamische Spiele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1001347</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268.012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B9</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