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Deutschen II : Thomas Müntzer und der Krieg der Bauern / Uwe Kersken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Deutschen II : Thomas Müntzer und der Krieg der Bauern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Uwe Kersken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Matthias-Film, 2010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45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N049664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“Thomas Müntzer und der Krieg der Bauern”, zeigt, wie sich ein junger Priester gegen die kirchliche und weltliche Obrigkeit wendet und eine Revolution entfacht. Thomas Müntzer ist kein Mann der Kompromisse. Die Kirchenkritik Luthers geht ihm nicht weit genug. Unter Berufung auf die Bibel unterstützt er den Aufstand der einfachen Bauern gegen die Ausbeutung durch die Fürsten. Der abtrünnige Priester, der mit einer entflohenen Nonne zusammenlebt, wird von den Machthabern verfolgt und entkommt ihnen oft nur knapp. Als 1524 der Deutsche Bauernkrieg ausbricht, schlägt Müntzer sich auf die Seite der Bauern. Er wird zur Leitfigur des Aufstands, doch die Niederlage der Bauern in der Schlacht von Frankenhausen besiegelt auch sein Schicksal.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Kersken, Uwe (Produzent)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Dokumentarfilm</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rFonts w:ascii="Arial" w:hAnsi="Arial" w:eastAsia="Arial" w:cs="Arial"/>
                <w:b w:val="0"/>
                <w:sz w:val="20"/>
              </w:rPr>
            </w:pPr>
            <w:r>
              <w:rPr>
                <w:rFonts w:ascii="Arial" w:hAnsi="Arial" w:eastAsia="Arial" w:cs="Arial"/>
                <w:b w:val="0"/>
                <w:sz w:val="20"/>
              </w:rPr>
              <w:t xml:space="preserve">Revolution</w:t>
            </w:r>
          </w:p>
          <w:p>
            <w:pPr>
              <w:pBdr/>
              <w:spacing/>
              <w:rPr>
                <w:rFonts w:ascii="Arial" w:hAnsi="Arial" w:eastAsia="Arial" w:cs="Arial"/>
                <w:b w:val="0"/>
                <w:sz w:val="20"/>
              </w:rPr>
            </w:pPr>
            <w:r>
              <w:rPr>
                <w:rFonts w:ascii="Arial" w:hAnsi="Arial" w:eastAsia="Arial" w:cs="Arial"/>
                <w:b w:val="0"/>
                <w:sz w:val="20"/>
              </w:rPr>
              <w:t xml:space="preserve">Deutschland</w:t>
            </w:r>
          </w:p>
          <w:p>
            <w:pPr>
              <w:pBdr/>
              <w:spacing/>
              <w:rPr>
                <w:rFonts w:ascii="Arial" w:hAnsi="Arial" w:eastAsia="Arial" w:cs="Arial"/>
                <w:b w:val="0"/>
                <w:sz w:val="20"/>
              </w:rPr>
            </w:pPr>
            <w:r>
              <w:rPr>
                <w:rFonts w:ascii="Arial" w:hAnsi="Arial" w:eastAsia="Arial" w:cs="Arial"/>
                <w:b w:val="0"/>
                <w:sz w:val="20"/>
              </w:rPr>
              <w:t xml:space="preserve">Bauernkrieg</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275.1 Reformation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1009849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