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Easy Spider</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Easy Spider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Rotkreuz : Neuland AG,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Netz im Holzkoffer : 2,6 kg inkl. Koffer + 2 Anleitungen, 4 Spanngurte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N048048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Easy Spider ist ein Netz mit 17 grössenverstellbaren Zellen aus hochelastischem Gummiseil. Beigelegt ist eine Anleitung zu Aufbau und Durchführung des Spiels.&lt;br&gt;Die Teilnehmenden bekommen die Aufgabe das Netz von der einen auf die andere Seite zu durchqueren. Dabei darf jedes Loch nur einmal verwendet werden. Wie schafft es die Gruppe ihre Ressourcen so zu organisieren, dass die Aufgabe lösbar wird? &lt;br&gt;&lt;br&gt;Das Netz kann mit einem freistehenden Rahmen (separat ausleihbar) aufgebaut werden. Dieser erlaubt "Easy Spider" sowohl Indoor, als auch Outdoor, unabhängig von Pfeilern oder Bäumen aufzubauen.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 AG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Gruppenspiel</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pPr>
            <w:r>
              <w:rPr>
                <w:rFonts w:ascii="Arial" w:hAnsi="Arial" w:eastAsia="Arial" w:cs="Arial"/>
                <w:b w:val="0"/>
                <w:sz w:val="20"/>
              </w:rPr>
              <w:t xml:space="preserve">Kommunikationstraining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1006490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101707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