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Wer schlug die Thesen an die Tür? : Martin Luther und die Reformation / Christiane Streckfuss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 schlug die Thesen an die Tür? : Martin Luther und die 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Christiane Streckfuss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Evangelisches Medienhaus,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27 Min. + Begleitmaterial auf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N044727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diesem Film aus der Reihe «Willis VIPs» begibt sich der neugierige Reporter auf die Spuren von Martin Luther und zeigt schlicht, lebendig und eindrucksvoll, was der Mönch und Gelehrte mit seiner Kritik an der Kirche vor rund 500 Jahren bewirkt hat. In der Begegnung mit einem Ehepaar mit Kind, das sich das Amt des Regionalbischofs von Nürnberg teilt, zeigt sich, wie in der evangelischen Kirche dank Luther auch Frauen des Pfarramt ganz selbstverständlich innehaben. Ein Rollenspiel erklärt das historische Problem mit dem Ablasshandel. In Wittenberg trifft Willi auf einen Kirchenmeister, der ihm erklärt, wo und warum  Luther  möglicherweise die berühmten Thesen dazu an die Tür schlug. Die DVD enthält umfangreiches Zusatzmaterial: Sequenzen aus dem Luther-Spielfilm, zum Buchdruck, Hörstücke, Lieder, eine Bildergalerie sowie auf der DVD-ROM-Ebene Bilder zum Ausdrucken, Unterrichtsentwürfe etc.</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Streckfuss, Christiane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Kirchengeschichte</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Kunst</w:t>
            </w:r>
          </w:p>
          <w:p>
            <w:pPr>
              <w:pBdr/>
              <w:spacing/>
              <w:rPr/>
            </w:pPr>
            <w:r>
              <w:rPr>
                <w:rFonts w:ascii="Arial" w:hAnsi="Arial" w:eastAsia="Arial" w:cs="Arial"/>
                <w:b w:val="0"/>
                <w:sz w:val="20"/>
              </w:rPr>
              <w:t xml:space="preserve">Musik/Lieder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1000108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