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"20.03.2024" bis zum "19.04.2024"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Nr. 85/2023 : Mensch sein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Beate Peters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Hannover : Friedrich Verlag GmbH,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 Bilder + 1 Lese- und Forscherheft &amp; weihnächtliche Geschichte (Booklet A5)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 4/2023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Thema «Mensch sein» eröffnet im Religionsunterricht verschiedene Perspektiven. Mit der Welt in Kontakt treten, mit Gefühlen umgehen lernen, Selbst-Bewusstsein entwickeln, sind einige wichtige Aspekte, denen sich die Ausgabe widmet. Darüber hinaus geht es um die Auseinandersetzung mit der Digitalisierung unserer Lebenswelt ebenso wie um die Frage, wer der Mensch Jesus war und unser Leben prägen kann.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Beate Peters</w:t>
            </w:r>
          </w:p>
          <w:p>
            <w:pPr>
              <w:pBdr/>
              <w:spacing/>
              <w:rPr/>
            </w:pPr>
            <w:r>
              <w:rPr>
                <w:rFonts w:ascii="Arial" w:hAnsi="Arial" w:eastAsia="Arial" w:cs="Arial"/>
                <w:b w:val="0"/>
                <w:sz w:val="20"/>
              </w:rPr>
              <w:t xml:space="preserve">Carmen Schmitt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Mensch sein</w:t>
            </w:r>
          </w:p>
          <w:p>
            <w:pPr>
              <w:pBdr/>
              <w:spacing/>
              <w:rPr>
                <w:rFonts w:ascii="Arial" w:hAnsi="Arial" w:eastAsia="Arial" w:cs="Arial"/>
                <w:b w:val="0"/>
                <w:sz w:val="20"/>
              </w:rPr>
            </w:pPr>
            <w:r>
              <w:rPr>
                <w:rFonts w:ascii="Arial" w:hAnsi="Arial" w:eastAsia="Arial" w:cs="Arial"/>
                <w:b w:val="0"/>
                <w:sz w:val="20"/>
              </w:rPr>
              <w:t xml:space="preserve">Kinder</w:t>
            </w:r>
          </w:p>
          <w:p>
            <w:pPr>
              <w:pBdr/>
              <w:spacing/>
              <w:rPr>
                <w:rFonts w:ascii="Arial" w:hAnsi="Arial" w:eastAsia="Arial" w:cs="Arial"/>
                <w:b w:val="0"/>
                <w:sz w:val="20"/>
              </w:rPr>
            </w:pPr>
            <w:r>
              <w:rPr>
                <w:rFonts w:ascii="Arial" w:hAnsi="Arial" w:eastAsia="Arial" w:cs="Arial"/>
                <w:b w:val="0"/>
                <w:sz w:val="20"/>
              </w:rPr>
              <w:t xml:space="preserve">Facetten</w:t>
            </w:r>
          </w:p>
          <w:p>
            <w:pPr>
              <w:pBdr/>
              <w:spacing/>
              <w:rPr>
                <w:rFonts w:ascii="Arial" w:hAnsi="Arial" w:eastAsia="Arial" w:cs="Arial"/>
                <w:b w:val="0"/>
                <w:sz w:val="20"/>
              </w:rPr>
            </w:pPr>
            <w:r>
              <w:rPr>
                <w:rFonts w:ascii="Arial" w:hAnsi="Arial" w:eastAsia="Arial" w:cs="Arial"/>
                <w:b w:val="0"/>
                <w:sz w:val="20"/>
              </w:rPr>
              <w:t xml:space="preserve">Mensch Jesus</w:t>
            </w:r>
          </w:p>
          <w:p>
            <w:pPr>
              <w:pBdr/>
              <w:spacing/>
              <w:rPr>
                <w:rFonts w:ascii="Arial" w:hAnsi="Arial" w:eastAsia="Arial" w:cs="Arial"/>
                <w:b w:val="0"/>
                <w:sz w:val="20"/>
              </w:rPr>
            </w:pPr>
            <w:r>
              <w:rPr>
                <w:rFonts w:ascii="Arial" w:hAnsi="Arial" w:eastAsia="Arial" w:cs="Arial"/>
                <w:b w:val="0"/>
                <w:sz w:val="20"/>
              </w:rPr>
              <w:t xml:space="preserve">Humanität</w:t>
            </w:r>
          </w:p>
          <w:p>
            <w:pPr>
              <w:pBdr/>
              <w:spacing/>
              <w:rPr>
                <w:rFonts w:ascii="Arial" w:hAnsi="Arial" w:eastAsia="Arial" w:cs="Arial"/>
                <w:b w:val="0"/>
                <w:sz w:val="20"/>
              </w:rPr>
            </w:pPr>
            <w:r>
              <w:rPr>
                <w:rFonts w:ascii="Arial" w:hAnsi="Arial" w:eastAsia="Arial" w:cs="Arial"/>
                <w:b w:val="0"/>
                <w:sz w:val="20"/>
              </w:rPr>
              <w:t xml:space="preserve">Menschlichkeit</w:t>
            </w:r>
          </w:p>
          <w:p>
            <w:pPr>
              <w:pBdr/>
              <w:spacing/>
              <w:rPr>
                <w:rFonts w:ascii="Arial" w:hAnsi="Arial" w:eastAsia="Arial" w:cs="Arial"/>
                <w:b w:val="0"/>
                <w:sz w:val="20"/>
              </w:rPr>
            </w:pPr>
            <w:r>
              <w:rPr>
                <w:rFonts w:ascii="Arial" w:hAnsi="Arial" w:eastAsia="Arial" w:cs="Arial"/>
                <w:b w:val="0"/>
                <w:sz w:val="20"/>
              </w:rPr>
              <w:t xml:space="preserve">KI</w:t>
            </w:r>
          </w:p>
          <w:p>
            <w:pPr>
              <w:pBdr/>
              <w:spacing/>
              <w:rPr>
                <w:rFonts w:ascii="Arial" w:hAnsi="Arial" w:eastAsia="Arial" w:cs="Arial"/>
                <w:b w:val="0"/>
                <w:sz w:val="20"/>
              </w:rPr>
            </w:pPr>
            <w:r>
              <w:rPr>
                <w:rFonts w:ascii="Arial" w:hAnsi="Arial" w:eastAsia="Arial" w:cs="Arial"/>
                <w:b w:val="0"/>
                <w:sz w:val="20"/>
              </w:rPr>
              <w:t xml:space="preserve">König:innen</w:t>
            </w:r>
          </w:p>
          <w:p>
            <w:pPr>
              <w:pBdr/>
              <w:spacing/>
              <w:rPr>
                <w:rFonts w:ascii="Arial" w:hAnsi="Arial" w:eastAsia="Arial" w:cs="Arial"/>
                <w:b w:val="0"/>
                <w:sz w:val="20"/>
              </w:rPr>
            </w:pPr>
            <w:r>
              <w:rPr>
                <w:rFonts w:ascii="Arial" w:hAnsi="Arial" w:eastAsia="Arial" w:cs="Arial"/>
                <w:b w:val="0"/>
                <w:sz w:val="20"/>
              </w:rPr>
              <w:t xml:space="preserve">Menschenwürde</w:t>
            </w:r>
          </w:p>
          <w:p>
            <w:pPr>
              <w:pBdr/>
              <w:spacing/>
              <w:rPr/>
            </w:pPr>
            <w:r>
              <w:rPr>
                <w:rFonts w:ascii="Arial" w:hAnsi="Arial" w:eastAsia="Arial" w:cs="Arial"/>
                <w:b w:val="0"/>
                <w:sz w:val="20"/>
              </w:rPr>
              <w:t xml:space="preserve">Stärken und Schwächen</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