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Die Osterfreude auskosten : 50 Impulse von Ostern bis Pfingsten / Anselm Grün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Osterfreude auskosten : 50 Impulse von Ostern bis Pfingsten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Anselm Grün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Schwarzach : Vier Türme,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187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978-3-7365-0291-8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N051652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Anselm Grün macht sich in diesem Buch auf die Suche nach dem Geheimnis von Ostern. Er deutet die reiche Symbolwelt und die faszinierenden Gestalten, die in der biblischen Geschichte rund um Kreuzigung, Auferstehung und der Zeit danach eine Rolle spielen. Der Leser kann die sieben Wochen von Ostern bis Pfingsten bewusst als einen Weg zu neuem Leben mitgehen und nachempfinden, was die Jünger Jesu damals erfahren haben. 50 Impulse und konkrete Übungsvorschläge von Anselm Grün helfen, den Alltag im Licht von Ostern leuchten zu lassen und diese Zeit intensiv mitzuerleben.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Grün, Anselm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Auferstehung Jesu</w:t>
            </w:r>
          </w:p>
          <w:p>
            <w:pPr>
              <w:pBdr/>
              <w:spacing/>
              <w:rPr>
                <w:rFonts w:ascii="Arial" w:hAnsi="Arial" w:eastAsia="Arial" w:cs="Arial"/>
                <w:b w:val="0"/>
                <w:sz w:val="20"/>
              </w:rPr>
            </w:pPr>
            <w:r>
              <w:rPr>
                <w:rFonts w:ascii="Arial" w:hAnsi="Arial" w:eastAsia="Arial" w:cs="Arial"/>
                <w:b w:val="0"/>
                <w:sz w:val="20"/>
              </w:rPr>
              <w:t xml:space="preserve">Lichtweg</w:t>
            </w:r>
          </w:p>
          <w:p>
            <w:pPr>
              <w:pBdr/>
              <w:spacing/>
              <w:rPr>
                <w:rFonts w:ascii="Arial" w:hAnsi="Arial" w:eastAsia="Arial" w:cs="Arial"/>
                <w:b w:val="0"/>
                <w:sz w:val="20"/>
              </w:rPr>
            </w:pPr>
            <w:r>
              <w:rPr>
                <w:rFonts w:ascii="Arial" w:hAnsi="Arial" w:eastAsia="Arial" w:cs="Arial"/>
                <w:b w:val="0"/>
                <w:sz w:val="20"/>
              </w:rPr>
              <w:t xml:space="preserve">Osterfreude</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pPr>
            <w:r>
              <w:rPr>
                <w:rFonts w:ascii="Arial" w:hAnsi="Arial" w:eastAsia="Arial" w:cs="Arial"/>
                <w:b w:val="0"/>
                <w:sz w:val="20"/>
              </w:rPr>
              <w:t xml:space="preserve">Symbole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264.14 Passion. Ostern. Frühjahr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1010550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264.14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