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Von Höhen und Tiefen : Das Glaubensinterview mit Heiko Herrlich / David Kadel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Höhen und Tiefen : Das Glaubensinterview mit Heiko Herrlich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Kadel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28 Min. + Begleit- und Unterrichtsmaterial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R000598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ehemalige Profi-Fussballer und DFB-Trainer Heiko Herrlich hat oft betont, dass er sich auch als Lehrer versteht: „Gegenüber meinen jungen Fussballern habe ich einen pädagogischen Auftrag!“ Um seine Spieler zu inspirieren, erzählt der frühere Bayer-04-Leverkusen-Coach ihnen auch ab und zu mal eine Geschichte aus der Bibel. Ihn interessiert vor allem die Art und Weise, wie Menschen miteinander umgehen. Warum ihm das so wichtig ist? &lt;br&gt; Für Heiko Herrlich kann es in einer Gruppe nur dann Erfolg geben, wenn man das Mit- und das Füreinander verstanden hat – und es auch täglich praktiziert. „Wir alle brauchen glaubwürdige und inspirierende Vorbilder, um uns an deren Einstellung und Persönlichkeit zu orientieren. Mit Heiko Herrlich spreche ich darüber, warum in unserer komplizierten Welt der Glaube, Demut und eine authentische Persönlichkeit wichtiger sind als je zuvor. Nicht der grosse ‚Star’, sondern der Mensch dahinter ist es, der anderen durch seine Einstellung und den Umgang mit Widerständen zum Vorbild werden kann“, sagt David Kadel (Filmautor und Autor der Begleitmaterialien). &lt;br&gt; Dieses sehr persönliche Interview spart kein Thema aus. Authentisch und bewegend erzählt Heiko Herrlich von den Höhen und Tiefen seines Lebens.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Kadel, David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Fussball</w:t>
            </w:r>
          </w:p>
          <w:p>
            <w:pPr>
              <w:pBdr/>
              <w:spacing/>
              <w:rPr>
                <w:rFonts w:ascii="Arial" w:hAnsi="Arial" w:eastAsia="Arial" w:cs="Arial"/>
                <w:b w:val="0"/>
                <w:sz w:val="20"/>
              </w:rPr>
            </w:pPr>
            <w:r>
              <w:rPr>
                <w:rFonts w:ascii="Arial" w:hAnsi="Arial" w:eastAsia="Arial" w:cs="Arial"/>
                <w:b w:val="0"/>
                <w:sz w:val="20"/>
              </w:rPr>
              <w:t xml:space="preserve">Glaube</w:t>
            </w:r>
          </w:p>
          <w:p>
            <w:pPr>
              <w:pBdr/>
              <w:spacing/>
              <w:rPr>
                <w:rFonts w:ascii="Arial" w:hAnsi="Arial" w:eastAsia="Arial" w:cs="Arial"/>
                <w:b w:val="0"/>
                <w:sz w:val="20"/>
              </w:rPr>
            </w:pPr>
            <w:r>
              <w:rPr>
                <w:rFonts w:ascii="Arial" w:hAnsi="Arial" w:eastAsia="Arial" w:cs="Arial"/>
                <w:b w:val="0"/>
                <w:sz w:val="20"/>
              </w:rPr>
              <w:t xml:space="preserve">Krankheit</w:t>
            </w:r>
          </w:p>
          <w:p>
            <w:pPr>
              <w:pBdr/>
              <w:spacing/>
              <w:rPr>
                <w:rFonts w:ascii="Arial" w:hAnsi="Arial" w:eastAsia="Arial" w:cs="Arial"/>
                <w:b w:val="0"/>
                <w:sz w:val="20"/>
              </w:rPr>
            </w:pPr>
            <w:r>
              <w:rPr>
                <w:rFonts w:ascii="Arial" w:hAnsi="Arial" w:eastAsia="Arial" w:cs="Arial"/>
                <w:b w:val="0"/>
                <w:sz w:val="20"/>
              </w:rPr>
              <w:t xml:space="preserve">Gemeinschaft</w:t>
            </w:r>
          </w:p>
          <w:p>
            <w:pPr>
              <w:pBdr/>
              <w:spacing/>
              <w:rPr>
                <w:rFonts w:ascii="Arial" w:hAnsi="Arial" w:eastAsia="Arial" w:cs="Arial"/>
                <w:b w:val="0"/>
                <w:sz w:val="20"/>
              </w:rPr>
            </w:pPr>
            <w:r>
              <w:rPr>
                <w:rFonts w:ascii="Arial" w:hAnsi="Arial" w:eastAsia="Arial" w:cs="Arial"/>
                <w:b w:val="0"/>
                <w:sz w:val="20"/>
              </w:rPr>
              <w:t xml:space="preserve">Vertrauen</w:t>
            </w:r>
          </w:p>
          <w:p>
            <w:pPr>
              <w:pBdr/>
              <w:spacing/>
              <w:rPr>
                <w:rFonts w:ascii="Arial" w:hAnsi="Arial" w:eastAsia="Arial" w:cs="Arial"/>
                <w:b w:val="0"/>
                <w:sz w:val="20"/>
              </w:rPr>
            </w:pPr>
            <w:r>
              <w:rPr>
                <w:rFonts w:ascii="Arial" w:hAnsi="Arial" w:eastAsia="Arial" w:cs="Arial"/>
                <w:b w:val="0"/>
                <w:sz w:val="20"/>
              </w:rPr>
              <w:t xml:space="preserve">Respekt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Werte</w:t>
            </w:r>
          </w:p>
          <w:p>
            <w:pPr>
              <w:pBdr/>
              <w:spacing/>
              <w:rPr/>
            </w:pPr>
            <w:r>
              <w:rPr>
                <w:rFonts w:ascii="Arial" w:hAnsi="Arial" w:eastAsia="Arial" w:cs="Arial"/>
                <w:b w:val="0"/>
                <w:sz w:val="20"/>
              </w:rPr>
              <w:t xml:space="preserve">Bibel</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