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Film ab für BNE : 9 Kurzfilme zum Einstieg in Bildung für Nachhaltige Entwicklung</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ab für BNE : 9 Kurzfilme zum Einstieg in Bildung für Nachhaltige Entwicklung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éducation 21,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 Kurzspiel-, Doku- und Animationsfilme, 1.5 - 12 Min. + Begleit- und Arbeitsmaterial auf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Filme füe eine Welt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N050528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DVD stellt ein einfaches, konkretes und leicht anzuwendendes Lernmedium dar, das zur Entdeckung von Bildung für Nachhaltige Entwicklung (BNE) einlädt und einen Beitrag zur Umsetzung im Unterricht leistet. Die 9 Kurzfilme bilden ein breites formales und thematisches Spektrum aus den Bereichen Gesellschaft, Umwelt, Wirtschaft und Gesundheit ab und laden ein zur kritischen Reflexion, zum Perspektivenwechsel und zur aktiven Beteiligung an gesellschaftlichen Prozessen. &lt;br&gt; Die neun Filme zeigen verschiedene Facetten von BNE und stellen Bezüge zwischen BNE, Gesundheitsförderung, Umweltbildung und Globalem Lernen her. BNE bezieht sich aber nicht nur auf den fachlichen Unterricht, sondern bietet einen umfassenden Ansatz, um die Schule zu einem motivierenden und zukunftsorientierten Arbeits-, Lern- und Lebensort zu gestalten.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Migration</w:t>
            </w:r>
          </w:p>
          <w:p>
            <w:pPr>
              <w:pBdr/>
              <w:spacing/>
              <w:rPr>
                <w:rFonts w:ascii="Arial" w:hAnsi="Arial" w:eastAsia="Arial" w:cs="Arial"/>
                <w:b w:val="0"/>
                <w:sz w:val="20"/>
              </w:rPr>
            </w:pPr>
            <w:r>
              <w:rPr>
                <w:rFonts w:ascii="Arial" w:hAnsi="Arial" w:eastAsia="Arial" w:cs="Arial"/>
                <w:b w:val="0"/>
                <w:sz w:val="20"/>
              </w:rPr>
              <w:t xml:space="preserve">Solidarität</w:t>
            </w:r>
          </w:p>
          <w:p>
            <w:pPr>
              <w:pBdr/>
              <w:spacing/>
              <w:rPr>
                <w:rFonts w:ascii="Arial" w:hAnsi="Arial" w:eastAsia="Arial" w:cs="Arial"/>
                <w:b w:val="0"/>
                <w:sz w:val="20"/>
              </w:rPr>
            </w:pPr>
            <w:r>
              <w:rPr>
                <w:rFonts w:ascii="Arial" w:hAnsi="Arial" w:eastAsia="Arial" w:cs="Arial"/>
                <w:b w:val="0"/>
                <w:sz w:val="20"/>
              </w:rPr>
              <w:t xml:space="preserve">Kinderarmut</w:t>
            </w:r>
          </w:p>
          <w:p>
            <w:pPr>
              <w:pBdr/>
              <w:spacing/>
              <w:rPr>
                <w:rFonts w:ascii="Arial" w:hAnsi="Arial" w:eastAsia="Arial" w:cs="Arial"/>
                <w:b w:val="0"/>
                <w:sz w:val="20"/>
              </w:rPr>
            </w:pPr>
            <w:r>
              <w:rPr>
                <w:rFonts w:ascii="Arial" w:hAnsi="Arial" w:eastAsia="Arial" w:cs="Arial"/>
                <w:b w:val="0"/>
                <w:sz w:val="20"/>
              </w:rPr>
              <w:t xml:space="preserve">Hunger</w:t>
            </w:r>
          </w:p>
          <w:p>
            <w:pPr>
              <w:pBdr/>
              <w:spacing/>
              <w:rPr>
                <w:rFonts w:ascii="Arial" w:hAnsi="Arial" w:eastAsia="Arial" w:cs="Arial"/>
                <w:b w:val="0"/>
                <w:sz w:val="20"/>
              </w:rPr>
            </w:pPr>
            <w:r>
              <w:rPr>
                <w:rFonts w:ascii="Arial" w:hAnsi="Arial" w:eastAsia="Arial" w:cs="Arial"/>
                <w:b w:val="0"/>
                <w:sz w:val="20"/>
              </w:rPr>
              <w:t xml:space="preserve">Religion</w:t>
            </w:r>
          </w:p>
          <w:p>
            <w:pPr>
              <w:pBdr/>
              <w:spacing/>
              <w:rPr>
                <w:rFonts w:ascii="Arial" w:hAnsi="Arial" w:eastAsia="Arial" w:cs="Arial"/>
                <w:b w:val="0"/>
                <w:sz w:val="20"/>
              </w:rPr>
            </w:pPr>
            <w:r>
              <w:rPr>
                <w:rFonts w:ascii="Arial" w:hAnsi="Arial" w:eastAsia="Arial" w:cs="Arial"/>
                <w:b w:val="0"/>
                <w:sz w:val="20"/>
              </w:rPr>
              <w:t xml:space="preserve">Klimawandel</w:t>
            </w:r>
          </w:p>
          <w:p>
            <w:pPr>
              <w:pBdr/>
              <w:spacing/>
              <w:rPr>
                <w:rFonts w:ascii="Arial" w:hAnsi="Arial" w:eastAsia="Arial" w:cs="Arial"/>
                <w:b w:val="0"/>
                <w:sz w:val="20"/>
              </w:rPr>
            </w:pPr>
            <w:r>
              <w:rPr>
                <w:rFonts w:ascii="Arial" w:hAnsi="Arial" w:eastAsia="Arial" w:cs="Arial"/>
                <w:b w:val="0"/>
                <w:sz w:val="20"/>
              </w:rPr>
              <w:t xml:space="preserve">Kinderarbeit</w:t>
            </w:r>
          </w:p>
          <w:p>
            <w:pPr>
              <w:pBdr/>
              <w:spacing/>
              <w:rPr/>
            </w:pPr>
            <w:r>
              <w:rPr>
                <w:rFonts w:ascii="Arial" w:hAnsi="Arial" w:eastAsia="Arial" w:cs="Arial"/>
                <w:b w:val="0"/>
                <w:sz w:val="20"/>
              </w:rPr>
              <w:t xml:space="preserve">Fairer Handel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241.328 Wirtschaft und Ethik. Sozialethik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1009864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241.328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