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blaue Vogel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Teckentrup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arsEdition,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978-3-8458-3753-6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N052635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wenn man traurig ist? Nicht mal traurig, sondern sehr lange traurig. Und am liebsten immer ganz allein für sich? So geht es dem kleinen blauen Vogel, der auf dem untersten Ast des grossen Baumes im Wald sitzt. Eine poetische Geschichte, die uns nachdenklich stimmt.&lt;br&gt;&lt;br&gt; Der blaue Vogel lebte tief im Wald. Ganz allein hockte er auf dem untersten Ast des grossen Baumes. Er hatte schon lange verlernt zu fliegen, singen und mit seinen Freunden durch die Lüfte zu jagen. Bis eines Abends der gelbe Vogel in den Wald flatterte.&lt;br&gt;  Und mit jedem Tag begann sich die Welt um den blauen Vogel herum ein wenig zu verändern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Teckentrup, Britta 1969-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Traurigkeit</w:t>
            </w:r>
          </w:p>
          <w:p>
            <w:pPr>
              <w:pBdr/>
              <w:spacing/>
              <w:rPr/>
            </w:pPr>
            <w:r>
              <w:rPr>
                <w:rFonts w:ascii="Arial" w:hAnsi="Arial" w:eastAsia="Arial" w:cs="Arial"/>
                <w:b w:val="0"/>
                <w:sz w:val="20"/>
              </w:rPr>
              <w:t xml:space="preserve">Hoffnung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1010911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2024-03-29T00:14:51Z</dcterms:created>
</cp:coreProperties>
</file>